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3B64" w14:textId="77777777" w:rsidR="00E0668E" w:rsidRDefault="00B835DE">
      <w:pPr>
        <w:tabs>
          <w:tab w:val="center" w:pos="8007"/>
        </w:tabs>
        <w:spacing w:after="77"/>
        <w:ind w:left="-571"/>
      </w:pPr>
      <w:r>
        <w:rPr>
          <w:rFonts w:ascii="Cambria" w:eastAsia="Cambria" w:hAnsi="Cambria" w:cs="Cambria"/>
          <w:sz w:val="31"/>
          <w:vertAlign w:val="superscript"/>
        </w:rPr>
        <w:tab/>
      </w:r>
      <w:r>
        <w:rPr>
          <w:sz w:val="24"/>
        </w:rPr>
        <w:t>SEDE DI BRESCIA</w:t>
      </w:r>
      <w:r>
        <w:rPr>
          <w:rFonts w:ascii="Cambria" w:eastAsia="Cambria" w:hAnsi="Cambria" w:cs="Cambria"/>
          <w:sz w:val="24"/>
        </w:rPr>
        <w:tab/>
      </w:r>
    </w:p>
    <w:p w14:paraId="18E865B0" w14:textId="77777777" w:rsidR="00E0668E" w:rsidRDefault="00B835DE">
      <w:pPr>
        <w:spacing w:after="0"/>
        <w:ind w:left="78"/>
        <w:jc w:val="center"/>
      </w:pPr>
      <w:r>
        <w:rPr>
          <w:noProof/>
        </w:rPr>
        <w:drawing>
          <wp:inline distT="0" distB="0" distL="0" distR="0" wp14:anchorId="59361B85" wp14:editId="0BCAA818">
            <wp:extent cx="728472" cy="1036320"/>
            <wp:effectExtent l="0" t="0" r="0" b="0"/>
            <wp:docPr id="3918" name="Picture 3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8" name="Picture 39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2691DC3E" w14:textId="77777777" w:rsidR="00E0668E" w:rsidRDefault="00B835DE">
      <w:pPr>
        <w:spacing w:after="0"/>
        <w:ind w:right="212"/>
        <w:jc w:val="center"/>
      </w:pPr>
      <w:r>
        <w:rPr>
          <w:sz w:val="18"/>
        </w:rPr>
        <w:t xml:space="preserve"> </w:t>
      </w:r>
    </w:p>
    <w:p w14:paraId="44BAFF0E" w14:textId="77777777" w:rsidR="00E0668E" w:rsidRPr="00C1748F" w:rsidRDefault="00B835DE">
      <w:pPr>
        <w:spacing w:after="0" w:line="238" w:lineRule="auto"/>
        <w:ind w:left="3531" w:right="3459"/>
        <w:jc w:val="center"/>
        <w:rPr>
          <w:lang w:val="it-IT"/>
        </w:rPr>
      </w:pPr>
      <w:r w:rsidRPr="00C1748F">
        <w:rPr>
          <w:color w:val="355E91"/>
          <w:sz w:val="18"/>
          <w:lang w:val="it-IT"/>
        </w:rPr>
        <w:t>CONSERVATORIO DI MUSICA “LUCA MARENZIO” BRESCIA</w:t>
      </w:r>
      <w:r w:rsidRPr="00C1748F">
        <w:rPr>
          <w:b/>
          <w:sz w:val="18"/>
          <w:lang w:val="it-IT"/>
        </w:rPr>
        <w:t xml:space="preserve"> </w:t>
      </w:r>
    </w:p>
    <w:p w14:paraId="54D78F55" w14:textId="77777777" w:rsidR="00E0668E" w:rsidRPr="00C1748F" w:rsidRDefault="00B835DE">
      <w:pPr>
        <w:spacing w:after="19"/>
        <w:rPr>
          <w:lang w:val="it-IT"/>
        </w:rPr>
      </w:pPr>
      <w:r w:rsidRPr="00C1748F">
        <w:rPr>
          <w:sz w:val="16"/>
          <w:lang w:val="it-IT"/>
        </w:rPr>
        <w:t xml:space="preserve"> </w:t>
      </w:r>
    </w:p>
    <w:p w14:paraId="6CA28226" w14:textId="77777777" w:rsidR="00E0668E" w:rsidRPr="00C1748F" w:rsidRDefault="00B835DE">
      <w:pPr>
        <w:spacing w:after="0" w:line="231" w:lineRule="auto"/>
        <w:ind w:left="396" w:right="648" w:hanging="396"/>
        <w:rPr>
          <w:lang w:val="it-IT"/>
        </w:rPr>
      </w:pPr>
      <w:r w:rsidRPr="00C1748F">
        <w:rPr>
          <w:sz w:val="24"/>
          <w:lang w:val="it-IT"/>
        </w:rPr>
        <w:t xml:space="preserve"> </w:t>
      </w:r>
      <w:r w:rsidRPr="00C1748F">
        <w:rPr>
          <w:sz w:val="16"/>
          <w:lang w:val="it-IT"/>
        </w:rPr>
        <w:t xml:space="preserve"> </w:t>
      </w:r>
      <w:r w:rsidRPr="00C1748F">
        <w:rPr>
          <w:sz w:val="24"/>
          <w:shd w:val="clear" w:color="auto" w:fill="FFFF00"/>
          <w:lang w:val="it-IT"/>
        </w:rPr>
        <w:t>Corsi di Diploma Accademico di I Livello (TRIENNI) – PROGRAMMI DI STUDIO E D’ESAME</w:t>
      </w:r>
      <w:r w:rsidRPr="00C1748F">
        <w:rPr>
          <w:sz w:val="24"/>
          <w:lang w:val="it-IT"/>
        </w:rPr>
        <w:t xml:space="preserve"> </w:t>
      </w:r>
    </w:p>
    <w:p w14:paraId="4680E796" w14:textId="5F3FF8D5" w:rsidR="00E0668E" w:rsidRPr="00C1748F" w:rsidRDefault="00B835DE" w:rsidP="00C1748F">
      <w:pPr>
        <w:spacing w:after="46"/>
        <w:rPr>
          <w:lang w:val="it-IT"/>
        </w:rPr>
      </w:pPr>
      <w:r w:rsidRPr="00C1748F">
        <w:rPr>
          <w:sz w:val="8"/>
          <w:lang w:val="it-IT"/>
        </w:rPr>
        <w:t xml:space="preserve"> </w:t>
      </w:r>
    </w:p>
    <w:p w14:paraId="5A41378A" w14:textId="77777777" w:rsidR="00E0668E" w:rsidRPr="00C1748F" w:rsidRDefault="00B835DE">
      <w:pPr>
        <w:spacing w:after="0"/>
        <w:rPr>
          <w:lang w:val="it-IT"/>
        </w:rPr>
      </w:pPr>
      <w:r w:rsidRPr="00C1748F">
        <w:rPr>
          <w:sz w:val="4"/>
          <w:lang w:val="it-IT"/>
        </w:rPr>
        <w:t xml:space="preserve"> </w:t>
      </w:r>
    </w:p>
    <w:tbl>
      <w:tblPr>
        <w:tblStyle w:val="TableGrid"/>
        <w:tblW w:w="9902" w:type="dxa"/>
        <w:tblInd w:w="-134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2"/>
      </w:tblGrid>
      <w:tr w:rsidR="00E0668E" w14:paraId="7BA102FB" w14:textId="77777777">
        <w:trPr>
          <w:trHeight w:val="451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7F01" w14:textId="7A8FB134" w:rsidR="00E0668E" w:rsidRDefault="002F2414">
            <w:pPr>
              <w:spacing w:after="0"/>
              <w:ind w:right="3"/>
              <w:jc w:val="center"/>
            </w:pPr>
            <w:r>
              <w:rPr>
                <w:b/>
                <w:sz w:val="36"/>
              </w:rPr>
              <w:t xml:space="preserve">CHITARRA POP-ROCK </w:t>
            </w:r>
          </w:p>
        </w:tc>
      </w:tr>
      <w:tr w:rsidR="00E0668E" w:rsidRPr="00C1748F" w14:paraId="6BDCB7B7" w14:textId="77777777">
        <w:trPr>
          <w:trHeight w:val="254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4B2C" w14:textId="77777777" w:rsidR="00E0668E" w:rsidRPr="00C1748F" w:rsidRDefault="00B835DE">
            <w:pPr>
              <w:spacing w:after="0"/>
              <w:ind w:right="3"/>
              <w:jc w:val="center"/>
              <w:rPr>
                <w:lang w:val="it-IT"/>
              </w:rPr>
            </w:pPr>
            <w:r w:rsidRPr="00C1748F">
              <w:rPr>
                <w:sz w:val="20"/>
                <w:lang w:val="it-IT"/>
              </w:rPr>
              <w:t xml:space="preserve">Annuale – Prima annualità del Triennio di Chitarra Pop/Rock </w:t>
            </w:r>
          </w:p>
        </w:tc>
      </w:tr>
    </w:tbl>
    <w:p w14:paraId="0D80D481" w14:textId="77777777" w:rsidR="00E0668E" w:rsidRPr="00C1748F" w:rsidRDefault="00B835DE">
      <w:pPr>
        <w:spacing w:after="0"/>
        <w:rPr>
          <w:lang w:val="it-IT"/>
        </w:rPr>
      </w:pPr>
      <w:r w:rsidRPr="00C1748F">
        <w:rPr>
          <w:sz w:val="24"/>
          <w:lang w:val="it-IT"/>
        </w:rPr>
        <w:t xml:space="preserve"> </w:t>
      </w:r>
    </w:p>
    <w:p w14:paraId="2265176E" w14:textId="77777777" w:rsidR="00E0668E" w:rsidRPr="00C1748F" w:rsidRDefault="00B835DE">
      <w:pPr>
        <w:tabs>
          <w:tab w:val="center" w:pos="1293"/>
          <w:tab w:val="center" w:pos="2124"/>
          <w:tab w:val="center" w:pos="5361"/>
        </w:tabs>
        <w:spacing w:after="0"/>
        <w:rPr>
          <w:lang w:val="it-IT"/>
        </w:rPr>
      </w:pPr>
      <w:r w:rsidRPr="00C1748F">
        <w:rPr>
          <w:lang w:val="it-IT"/>
        </w:rPr>
        <w:t xml:space="preserve">Prof.  </w:t>
      </w:r>
      <w:r w:rsidRPr="00C1748F">
        <w:rPr>
          <w:lang w:val="it-IT"/>
        </w:rPr>
        <w:tab/>
        <w:t xml:space="preserve">Tafelli Marco </w:t>
      </w:r>
      <w:r w:rsidRPr="00C1748F">
        <w:rPr>
          <w:lang w:val="it-IT"/>
        </w:rPr>
        <w:tab/>
        <w:t xml:space="preserve"> </w:t>
      </w:r>
      <w:r w:rsidRPr="00C1748F">
        <w:rPr>
          <w:lang w:val="it-IT"/>
        </w:rPr>
        <w:tab/>
      </w:r>
      <w:r w:rsidRPr="00C1748F">
        <w:rPr>
          <w:rFonts w:ascii="Arial" w:eastAsia="Arial" w:hAnsi="Arial" w:cs="Arial"/>
          <w:color w:val="0000FF"/>
          <w:sz w:val="21"/>
          <w:u w:val="single" w:color="0000FF"/>
          <w:lang w:val="it-IT"/>
        </w:rPr>
        <w:t>marco.tafelli@conservatorio.brescia.it</w:t>
      </w:r>
      <w:r w:rsidRPr="00C1748F">
        <w:rPr>
          <w:rFonts w:ascii="Times New Roman" w:eastAsia="Times New Roman" w:hAnsi="Times New Roman" w:cs="Times New Roman"/>
          <w:sz w:val="24"/>
          <w:lang w:val="it-IT"/>
        </w:rPr>
        <w:t xml:space="preserve">           </w:t>
      </w:r>
      <w:r w:rsidRPr="00C1748F">
        <w:rPr>
          <w:b/>
          <w:lang w:val="it-IT"/>
        </w:rPr>
        <w:t>COMP/02</w:t>
      </w:r>
      <w:r w:rsidRPr="00C1748F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</w:p>
    <w:p w14:paraId="1B40A424" w14:textId="77777777" w:rsidR="00E0668E" w:rsidRPr="00C1748F" w:rsidRDefault="00B835DE">
      <w:pPr>
        <w:spacing w:after="0"/>
        <w:ind w:right="9555"/>
        <w:rPr>
          <w:lang w:val="it-IT"/>
        </w:rPr>
      </w:pPr>
      <w:r w:rsidRPr="00C1748F">
        <w:rPr>
          <w:lang w:val="it-IT"/>
        </w:rPr>
        <w:t xml:space="preserve"> </w:t>
      </w:r>
      <w:r w:rsidRPr="00C1748F">
        <w:rPr>
          <w:sz w:val="24"/>
          <w:lang w:val="it-IT"/>
        </w:rPr>
        <w:t xml:space="preserve"> </w:t>
      </w:r>
    </w:p>
    <w:tbl>
      <w:tblPr>
        <w:tblStyle w:val="TableGrid"/>
        <w:tblW w:w="9840" w:type="dxa"/>
        <w:tblInd w:w="-110" w:type="dxa"/>
        <w:tblCellMar>
          <w:top w:w="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3"/>
        <w:gridCol w:w="2266"/>
        <w:gridCol w:w="1896"/>
        <w:gridCol w:w="1296"/>
        <w:gridCol w:w="1133"/>
        <w:gridCol w:w="1296"/>
      </w:tblGrid>
      <w:tr w:rsidR="00E0668E" w14:paraId="3AF4C938" w14:textId="77777777" w:rsidTr="002F2414">
        <w:trPr>
          <w:trHeight w:val="32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B001" w14:textId="77777777" w:rsidR="00E0668E" w:rsidRDefault="00B835DE">
            <w:pPr>
              <w:spacing w:after="0"/>
              <w:ind w:left="3"/>
              <w:jc w:val="center"/>
            </w:pPr>
            <w:r>
              <w:rPr>
                <w:sz w:val="18"/>
              </w:rPr>
              <w:t xml:space="preserve">TIpologia formativa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DCF50" w14:textId="77777777" w:rsidR="00E0668E" w:rsidRDefault="00B835DE">
            <w:pPr>
              <w:spacing w:after="0"/>
              <w:ind w:left="9"/>
              <w:jc w:val="center"/>
            </w:pPr>
            <w:r>
              <w:rPr>
                <w:sz w:val="18"/>
              </w:rPr>
              <w:t xml:space="preserve">Tipologia insegnamento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E557" w14:textId="77777777" w:rsidR="00E0668E" w:rsidRDefault="00B835DE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Frequenza minima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F3B4" w14:textId="77777777" w:rsidR="00E0668E" w:rsidRDefault="00B835DE">
            <w:pPr>
              <w:spacing w:after="0"/>
              <w:ind w:left="5"/>
              <w:jc w:val="center"/>
            </w:pPr>
            <w:r>
              <w:rPr>
                <w:sz w:val="18"/>
              </w:rPr>
              <w:t xml:space="preserve">Ore/anno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039B" w14:textId="77777777" w:rsidR="00E0668E" w:rsidRDefault="00B835DE">
            <w:pPr>
              <w:spacing w:after="0"/>
              <w:ind w:left="6"/>
              <w:jc w:val="center"/>
            </w:pPr>
            <w:r>
              <w:rPr>
                <w:sz w:val="18"/>
              </w:rPr>
              <w:t xml:space="preserve">CFA/anno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90229" w14:textId="77777777" w:rsidR="00E0668E" w:rsidRDefault="00B835DE">
            <w:pPr>
              <w:spacing w:after="0"/>
              <w:ind w:left="6"/>
              <w:jc w:val="center"/>
            </w:pPr>
            <w:r>
              <w:rPr>
                <w:sz w:val="18"/>
              </w:rPr>
              <w:t xml:space="preserve">Valutazione </w:t>
            </w:r>
          </w:p>
        </w:tc>
      </w:tr>
      <w:tr w:rsidR="00E0668E" w14:paraId="307E024C" w14:textId="77777777" w:rsidTr="002F2414">
        <w:trPr>
          <w:trHeight w:val="41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83984" w14:textId="77777777" w:rsidR="00E0668E" w:rsidRDefault="00B835DE">
            <w:pPr>
              <w:spacing w:after="0"/>
              <w:ind w:left="2"/>
              <w:jc w:val="center"/>
            </w:pPr>
            <w:r>
              <w:t xml:space="preserve">Caratterizzante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646F" w14:textId="77777777" w:rsidR="00E0668E" w:rsidRDefault="00B835DE">
            <w:pPr>
              <w:spacing w:after="0"/>
              <w:ind w:left="8"/>
              <w:jc w:val="center"/>
            </w:pPr>
            <w:r>
              <w:t xml:space="preserve">individuale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A3E2" w14:textId="77777777" w:rsidR="00E0668E" w:rsidRDefault="00B835DE">
            <w:pPr>
              <w:spacing w:after="0"/>
              <w:ind w:left="4"/>
              <w:jc w:val="center"/>
            </w:pPr>
            <w:r>
              <w:t xml:space="preserve">20 ore – 66,6%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D95E" w14:textId="77777777" w:rsidR="00E0668E" w:rsidRDefault="00B835DE">
            <w:pPr>
              <w:spacing w:after="0"/>
              <w:ind w:left="4"/>
              <w:jc w:val="center"/>
            </w:pPr>
            <w:r>
              <w:t xml:space="preserve">30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E8A78" w14:textId="77777777" w:rsidR="00E0668E" w:rsidRDefault="00B835DE">
            <w:pPr>
              <w:spacing w:after="0"/>
              <w:ind w:left="5"/>
              <w:jc w:val="center"/>
            </w:pPr>
            <w:r>
              <w:t xml:space="preserve">19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F496" w14:textId="77777777" w:rsidR="00E0668E" w:rsidRDefault="00B835DE">
            <w:pPr>
              <w:spacing w:after="0"/>
              <w:ind w:left="4"/>
              <w:jc w:val="center"/>
            </w:pPr>
            <w:r>
              <w:t xml:space="preserve">Esame </w:t>
            </w:r>
          </w:p>
        </w:tc>
      </w:tr>
    </w:tbl>
    <w:p w14:paraId="37F00AA0" w14:textId="77777777" w:rsidR="002F2414" w:rsidRPr="002F2414" w:rsidRDefault="00B835DE" w:rsidP="002F2414">
      <w:pPr>
        <w:spacing w:after="239"/>
        <w:rPr>
          <w:b/>
          <w:sz w:val="8"/>
          <w:szCs w:val="6"/>
        </w:rPr>
      </w:pPr>
      <w:r>
        <w:rPr>
          <w:sz w:val="14"/>
        </w:rPr>
        <w:t xml:space="preserve"> </w:t>
      </w:r>
      <w:r>
        <w:rPr>
          <w:b/>
          <w:sz w:val="28"/>
        </w:rPr>
        <w:t xml:space="preserve"> </w:t>
      </w:r>
    </w:p>
    <w:p w14:paraId="135A2862" w14:textId="0FD9F747" w:rsidR="00E0668E" w:rsidRDefault="00B835DE" w:rsidP="002F2414">
      <w:pPr>
        <w:spacing w:after="239"/>
      </w:pPr>
      <w:r>
        <w:rPr>
          <w:b/>
          <w:sz w:val="28"/>
        </w:rPr>
        <w:t xml:space="preserve">Prassi Esecutive e Repertori I </w:t>
      </w:r>
    </w:p>
    <w:p w14:paraId="1CCCDE09" w14:textId="77777777" w:rsidR="00E0668E" w:rsidRDefault="00B835DE" w:rsidP="002F2414">
      <w:pPr>
        <w:spacing w:after="0"/>
      </w:pPr>
      <w:r>
        <w:rPr>
          <w:b/>
          <w:sz w:val="24"/>
        </w:rPr>
        <w:t xml:space="preserve">ESAME </w:t>
      </w:r>
    </w:p>
    <w:p w14:paraId="7A6ECD7E" w14:textId="77777777" w:rsidR="00E0668E" w:rsidRPr="002F2414" w:rsidRDefault="00B835DE">
      <w:pPr>
        <w:spacing w:after="0"/>
        <w:rPr>
          <w:sz w:val="10"/>
          <w:szCs w:val="10"/>
        </w:rPr>
      </w:pPr>
      <w:r>
        <w:rPr>
          <w:rFonts w:ascii="Cambria" w:eastAsia="Cambria" w:hAnsi="Cambria" w:cs="Cambria"/>
          <w:sz w:val="24"/>
        </w:rPr>
        <w:tab/>
      </w:r>
    </w:p>
    <w:p w14:paraId="07CE4CE5" w14:textId="77777777" w:rsidR="00E0668E" w:rsidRPr="002F2414" w:rsidRDefault="00B835DE">
      <w:pPr>
        <w:spacing w:after="0"/>
        <w:ind w:left="-5" w:hanging="10"/>
        <w:rPr>
          <w:sz w:val="20"/>
          <w:szCs w:val="22"/>
        </w:rPr>
      </w:pPr>
      <w:r w:rsidRPr="002F2414">
        <w:rPr>
          <w:b/>
          <w:szCs w:val="22"/>
        </w:rPr>
        <w:t xml:space="preserve">SCALE: </w:t>
      </w:r>
    </w:p>
    <w:p w14:paraId="106892E2" w14:textId="77777777" w:rsidR="00E0668E" w:rsidRPr="002F2414" w:rsidRDefault="00B835DE">
      <w:pPr>
        <w:spacing w:after="0"/>
        <w:ind w:left="445" w:hanging="10"/>
        <w:rPr>
          <w:sz w:val="20"/>
          <w:szCs w:val="22"/>
        </w:rPr>
      </w:pPr>
      <w:r w:rsidRPr="002F2414">
        <w:rPr>
          <w:szCs w:val="22"/>
        </w:rPr>
        <w:t xml:space="preserve">Scala Cromatica. </w:t>
      </w:r>
    </w:p>
    <w:p w14:paraId="16D7A997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Scale di C Maggiore / A Minore, G Maggiore / E Minore. </w:t>
      </w:r>
    </w:p>
    <w:p w14:paraId="6A91D640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Scale Pentatoniche di C Maggiore / A Minore, G Maggiore / E Minore. </w:t>
      </w:r>
    </w:p>
    <w:p w14:paraId="77D551A1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Scale Pentatoniche Blues di C Maggiore / A Minore, G Maggiore / E Minore. </w:t>
      </w:r>
      <w:r w:rsidRPr="002F2414">
        <w:rPr>
          <w:rFonts w:ascii="Times New Roman" w:eastAsia="Times New Roman" w:hAnsi="Times New Roman" w:cs="Times New Roman"/>
          <w:szCs w:val="22"/>
          <w:lang w:val="it-IT"/>
        </w:rPr>
        <w:t xml:space="preserve"> </w:t>
      </w:r>
    </w:p>
    <w:p w14:paraId="4DA97B68" w14:textId="77777777" w:rsidR="00E0668E" w:rsidRPr="002F2414" w:rsidRDefault="00B835DE">
      <w:pPr>
        <w:spacing w:after="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 </w:t>
      </w:r>
    </w:p>
    <w:p w14:paraId="79F0309A" w14:textId="77777777" w:rsidR="00E0668E" w:rsidRPr="002F2414" w:rsidRDefault="00B835DE">
      <w:pPr>
        <w:spacing w:after="0"/>
        <w:ind w:left="-5" w:hanging="10"/>
        <w:rPr>
          <w:sz w:val="20"/>
          <w:szCs w:val="22"/>
          <w:lang w:val="it-IT"/>
        </w:rPr>
      </w:pPr>
      <w:r w:rsidRPr="002F2414">
        <w:rPr>
          <w:b/>
          <w:szCs w:val="22"/>
          <w:lang w:val="it-IT"/>
        </w:rPr>
        <w:t xml:space="preserve">ARPEGGI: </w:t>
      </w:r>
      <w:r w:rsidRPr="002F2414">
        <w:rPr>
          <w:rFonts w:ascii="Times New Roman" w:eastAsia="Times New Roman" w:hAnsi="Times New Roman" w:cs="Times New Roman"/>
          <w:b/>
          <w:szCs w:val="22"/>
          <w:lang w:val="it-IT"/>
        </w:rPr>
        <w:t xml:space="preserve"> </w:t>
      </w:r>
    </w:p>
    <w:p w14:paraId="0E856C66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Arpeggio Triade Maggiore.  </w:t>
      </w:r>
    </w:p>
    <w:p w14:paraId="2F9C40A0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Arpeggio Triade Minore.  </w:t>
      </w:r>
    </w:p>
    <w:p w14:paraId="1867FD1D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Arpeggio Triade Diminuita.  </w:t>
      </w:r>
    </w:p>
    <w:p w14:paraId="686603D8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Arpeggio dom 7.  </w:t>
      </w:r>
    </w:p>
    <w:p w14:paraId="2CAE6C28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Arpeggi relativi all'Armonizzazione a 3 voci delle Scale di C Maggiore / A Minore.  </w:t>
      </w:r>
    </w:p>
    <w:p w14:paraId="3A780995" w14:textId="77777777" w:rsidR="00E0668E" w:rsidRPr="002F2414" w:rsidRDefault="00B835DE">
      <w:pPr>
        <w:spacing w:after="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 </w:t>
      </w:r>
    </w:p>
    <w:p w14:paraId="2A1464CF" w14:textId="77777777" w:rsidR="00E0668E" w:rsidRPr="002F2414" w:rsidRDefault="00B835DE">
      <w:pPr>
        <w:spacing w:after="0"/>
        <w:ind w:left="-5" w:hanging="10"/>
        <w:rPr>
          <w:sz w:val="20"/>
          <w:szCs w:val="22"/>
          <w:lang w:val="it-IT"/>
        </w:rPr>
      </w:pPr>
      <w:r w:rsidRPr="002F2414">
        <w:rPr>
          <w:b/>
          <w:szCs w:val="22"/>
          <w:lang w:val="it-IT"/>
        </w:rPr>
        <w:t xml:space="preserve">ACCORDI: </w:t>
      </w:r>
    </w:p>
    <w:p w14:paraId="6B6C1E35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Power Chords, Diadi di Quinta, Quarta, Terza, Sesta. </w:t>
      </w:r>
    </w:p>
    <w:p w14:paraId="2DCFBC42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Accordi Maggiori. </w:t>
      </w:r>
    </w:p>
    <w:p w14:paraId="15760420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Accordi Minori. </w:t>
      </w:r>
    </w:p>
    <w:p w14:paraId="6B88F26D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Accordi dom 7. </w:t>
      </w:r>
    </w:p>
    <w:p w14:paraId="7FC91F47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Armonizzazione a 3 voci delle scale di C Maggiore/A Minore. </w:t>
      </w:r>
    </w:p>
    <w:p w14:paraId="61C1E558" w14:textId="77777777" w:rsidR="00E0668E" w:rsidRPr="002F2414" w:rsidRDefault="00B835DE">
      <w:pPr>
        <w:spacing w:after="0"/>
        <w:ind w:left="45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 </w:t>
      </w:r>
    </w:p>
    <w:p w14:paraId="17D3F45E" w14:textId="77777777" w:rsidR="00E0668E" w:rsidRPr="002F2414" w:rsidRDefault="00B835DE">
      <w:pPr>
        <w:spacing w:after="0"/>
        <w:ind w:left="-5" w:hanging="10"/>
        <w:rPr>
          <w:sz w:val="20"/>
          <w:szCs w:val="22"/>
          <w:lang w:val="it-IT"/>
        </w:rPr>
      </w:pPr>
      <w:r w:rsidRPr="002F2414">
        <w:rPr>
          <w:b/>
          <w:szCs w:val="22"/>
          <w:lang w:val="it-IT"/>
        </w:rPr>
        <w:t xml:space="preserve">RITMICA: </w:t>
      </w:r>
    </w:p>
    <w:p w14:paraId="39527C03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Accompagnamento Blues Maggiore 17 IV7 V7 nelle tonalità di E ed A. </w:t>
      </w:r>
    </w:p>
    <w:p w14:paraId="2C6C4BF8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Accompagnamento Blues Minore Im IVm V7 nelle tonalità di Em ed Am.  </w:t>
      </w:r>
    </w:p>
    <w:p w14:paraId="2E8A86A8" w14:textId="093CA535" w:rsidR="00E0668E" w:rsidRPr="002F2414" w:rsidRDefault="00B835DE" w:rsidP="002F2414">
      <w:pPr>
        <w:spacing w:after="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lastRenderedPageBreak/>
        <w:t xml:space="preserve"> </w:t>
      </w:r>
      <w:r w:rsidRPr="002F2414">
        <w:rPr>
          <w:b/>
          <w:szCs w:val="22"/>
          <w:lang w:val="it-IT"/>
        </w:rPr>
        <w:t>SOLISTA</w:t>
      </w:r>
      <w:r w:rsidRPr="002F2414">
        <w:rPr>
          <w:szCs w:val="22"/>
          <w:lang w:val="it-IT"/>
        </w:rPr>
        <w:t xml:space="preserve"> (improvvisazione): </w:t>
      </w:r>
    </w:p>
    <w:p w14:paraId="135CB52C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Improvvisazione su giro Blues Maggiore in tonalità di E e di A. </w:t>
      </w:r>
    </w:p>
    <w:p w14:paraId="669F202A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Improvvisazione su giro Blues Minore in tonalità di Am e di Em. </w:t>
      </w:r>
    </w:p>
    <w:p w14:paraId="01A1DA88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Improvvisazione su giro Armonico Maggiore in tonalità di C e G. </w:t>
      </w:r>
    </w:p>
    <w:p w14:paraId="39493CC4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Improvvisazione su giro Armonico Minore in tonalità di Am e Em.  </w:t>
      </w:r>
    </w:p>
    <w:p w14:paraId="49AD0F3C" w14:textId="77777777" w:rsidR="00E0668E" w:rsidRPr="002F2414" w:rsidRDefault="00B835DE">
      <w:pPr>
        <w:spacing w:after="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 </w:t>
      </w:r>
    </w:p>
    <w:p w14:paraId="0F2E428C" w14:textId="77777777" w:rsidR="00E0668E" w:rsidRPr="002F2414" w:rsidRDefault="00B835DE">
      <w:pPr>
        <w:spacing w:after="0"/>
        <w:ind w:left="-5" w:hanging="10"/>
        <w:rPr>
          <w:sz w:val="20"/>
          <w:szCs w:val="22"/>
          <w:lang w:val="it-IT"/>
        </w:rPr>
      </w:pPr>
      <w:r w:rsidRPr="002F2414">
        <w:rPr>
          <w:b/>
          <w:szCs w:val="22"/>
          <w:lang w:val="it-IT"/>
        </w:rPr>
        <w:t>SOLISTA/RITMICA</w:t>
      </w:r>
      <w:r w:rsidRPr="002F2414">
        <w:rPr>
          <w:szCs w:val="22"/>
          <w:lang w:val="it-IT"/>
        </w:rPr>
        <w:t xml:space="preserve"> (esecuzione): </w:t>
      </w:r>
    </w:p>
    <w:p w14:paraId="7CBBAEDA" w14:textId="77777777" w:rsidR="00E0668E" w:rsidRPr="002F2414" w:rsidRDefault="00B835DE">
      <w:pPr>
        <w:spacing w:after="0"/>
        <w:ind w:left="445" w:hanging="10"/>
        <w:rPr>
          <w:sz w:val="20"/>
          <w:szCs w:val="22"/>
          <w:lang w:val="it-IT"/>
        </w:rPr>
      </w:pPr>
      <w:r w:rsidRPr="002F2414">
        <w:rPr>
          <w:szCs w:val="22"/>
          <w:lang w:val="it-IT"/>
        </w:rPr>
        <w:t xml:space="preserve">5 brani selezionati precedentemente con l’insegnante di strumento, tratti dalla seguente lista: </w:t>
      </w:r>
    </w:p>
    <w:p w14:paraId="472FD1AA" w14:textId="77777777" w:rsidR="00E0668E" w:rsidRPr="00C1748F" w:rsidRDefault="00B835DE">
      <w:pPr>
        <w:spacing w:after="0"/>
        <w:ind w:left="450"/>
        <w:rPr>
          <w:lang w:val="it-IT"/>
        </w:rPr>
      </w:pPr>
      <w:r w:rsidRPr="00C1748F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14:paraId="117DCD7A" w14:textId="4B830056" w:rsidR="00E0668E" w:rsidRPr="002F2414" w:rsidRDefault="00B835DE" w:rsidP="002F2414">
      <w:pPr>
        <w:spacing w:after="4" w:line="249" w:lineRule="auto"/>
        <w:ind w:left="-5" w:right="-30" w:hanging="10"/>
        <w:jc w:val="both"/>
        <w:rPr>
          <w:sz w:val="24"/>
          <w:szCs w:val="28"/>
        </w:rPr>
      </w:pPr>
      <w:r w:rsidRPr="002F2414">
        <w:rPr>
          <w:szCs w:val="28"/>
        </w:rPr>
        <w:t>I want it all (Queen), We will rock you (Queen),</w:t>
      </w:r>
      <w:r w:rsidR="002F2414" w:rsidRPr="002F2414">
        <w:rPr>
          <w:szCs w:val="28"/>
        </w:rPr>
        <w:t xml:space="preserve"> </w:t>
      </w:r>
      <w:r w:rsidRPr="002F2414">
        <w:rPr>
          <w:szCs w:val="28"/>
        </w:rPr>
        <w:t xml:space="preserve">We are the champions (Queen), Cryin (Aereosmith), Walk this way (Aerosmith), Dream on (Aerosmith), Dude looks like a lady </w:t>
      </w:r>
      <w:r w:rsidR="002F2414" w:rsidRPr="002F2414">
        <w:rPr>
          <w:szCs w:val="28"/>
        </w:rPr>
        <w:t xml:space="preserve">- </w:t>
      </w:r>
      <w:r w:rsidRPr="002F2414">
        <w:rPr>
          <w:szCs w:val="28"/>
        </w:rPr>
        <w:t xml:space="preserve">The wall (Pink Floyd), Hotel California (Eagles), Back in black (Ac/dc), Growing on me (Darkness), My Sharona (The knacks), Message in a bottle (The police), Californication (Red hot chili peppers), Sunday bloody sunday (U2), I will follow (U2), Beautiful day (U2), Vertigo (U2), Run to you (Bryan Adams), Summer of 69 (Bryan </w:t>
      </w:r>
      <w:r w:rsidR="002F2414" w:rsidRPr="002F2414">
        <w:rPr>
          <w:szCs w:val="28"/>
        </w:rPr>
        <w:t>A</w:t>
      </w:r>
      <w:r w:rsidRPr="002F2414">
        <w:rPr>
          <w:szCs w:val="28"/>
        </w:rPr>
        <w:t xml:space="preserve">dams), Heaven (Bryan </w:t>
      </w:r>
      <w:r w:rsidR="002F2414" w:rsidRPr="002F2414">
        <w:rPr>
          <w:szCs w:val="28"/>
        </w:rPr>
        <w:t>A</w:t>
      </w:r>
      <w:r w:rsidRPr="002F2414">
        <w:rPr>
          <w:szCs w:val="28"/>
        </w:rPr>
        <w:t xml:space="preserve">dams), </w:t>
      </w:r>
    </w:p>
    <w:p w14:paraId="42FF5A40" w14:textId="2C87B5E0" w:rsidR="00E0668E" w:rsidRPr="002F2414" w:rsidRDefault="00B835DE" w:rsidP="002F2414">
      <w:pPr>
        <w:spacing w:after="4" w:line="249" w:lineRule="auto"/>
        <w:ind w:left="-5" w:right="-30" w:hanging="10"/>
        <w:jc w:val="both"/>
        <w:rPr>
          <w:szCs w:val="28"/>
        </w:rPr>
      </w:pPr>
      <w:r w:rsidRPr="002F2414">
        <w:rPr>
          <w:szCs w:val="28"/>
        </w:rPr>
        <w:t xml:space="preserve">It's only love (Bryan </w:t>
      </w:r>
      <w:r w:rsidR="002F2414" w:rsidRPr="002F2414">
        <w:rPr>
          <w:szCs w:val="28"/>
        </w:rPr>
        <w:t>A</w:t>
      </w:r>
      <w:r w:rsidRPr="002F2414">
        <w:rPr>
          <w:szCs w:val="28"/>
        </w:rPr>
        <w:t xml:space="preserve">dams), American idiot (Green day), Sweet home alabama (Lynyrd skynryd), An englishman in new york (Sting), Fragile (Sting), Johnny be good (Chuck berry), Cocaine (Eric </w:t>
      </w:r>
      <w:r w:rsidR="002F2414" w:rsidRPr="002F2414">
        <w:rPr>
          <w:szCs w:val="28"/>
        </w:rPr>
        <w:t>C</w:t>
      </w:r>
      <w:r w:rsidRPr="002F2414">
        <w:rPr>
          <w:szCs w:val="28"/>
        </w:rPr>
        <w:t xml:space="preserve">lapton), Crossroad (Eric </w:t>
      </w:r>
      <w:r w:rsidR="002F2414" w:rsidRPr="002F2414">
        <w:rPr>
          <w:szCs w:val="28"/>
        </w:rPr>
        <w:t>C</w:t>
      </w:r>
      <w:r w:rsidRPr="002F2414">
        <w:rPr>
          <w:szCs w:val="28"/>
        </w:rPr>
        <w:t>lapton), Come together (Beatles), Get back (Beatles), Let it be (Beatles), Angie (Rolling stones), I can't get no satisfaction (Rolling stones), Start me up (Rolling stones), Sunshine of your love (Cream).</w:t>
      </w:r>
      <w:r w:rsidRPr="002F2414">
        <w:rPr>
          <w:b/>
          <w:sz w:val="32"/>
          <w:szCs w:val="28"/>
        </w:rPr>
        <w:t xml:space="preserve"> </w:t>
      </w:r>
    </w:p>
    <w:sectPr w:rsidR="00E0668E" w:rsidRPr="002F2414">
      <w:pgSz w:w="11900" w:h="16840"/>
      <w:pgMar w:top="957" w:right="1158" w:bottom="14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8E"/>
    <w:rsid w:val="002F2414"/>
    <w:rsid w:val="00B835DE"/>
    <w:rsid w:val="00C1748F"/>
    <w:rsid w:val="00E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3E93"/>
  <w15:docId w15:val="{D99AD7FB-F711-D64C-A871-357B1B8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MOD-DOC-Triennio-Prassi-esecutive (1).docx</dc:title>
  <dc:subject/>
  <dc:creator>Marco Tafelli</dc:creator>
  <cp:keywords/>
  <cp:lastModifiedBy>Francesco Villa</cp:lastModifiedBy>
  <cp:revision>4</cp:revision>
  <dcterms:created xsi:type="dcterms:W3CDTF">2020-11-25T09:37:00Z</dcterms:created>
  <dcterms:modified xsi:type="dcterms:W3CDTF">2020-11-26T10:37:00Z</dcterms:modified>
</cp:coreProperties>
</file>